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D941F" w14:textId="77777777" w:rsidR="00520C23" w:rsidRPr="00520C23" w:rsidRDefault="00520C23" w:rsidP="00520C23">
      <w:pPr>
        <w:framePr w:hSpace="180" w:wrap="around" w:vAnchor="page" w:hAnchor="page" w:x="2121" w:y="1261"/>
        <w:spacing w:line="750" w:lineRule="atLeast"/>
        <w:outlineLvl w:val="0"/>
        <w:rPr>
          <w:rFonts w:ascii="Helvetica" w:eastAsia="Times New Roman" w:hAnsi="Helvetica" w:cs="Times New Roman"/>
          <w:b/>
          <w:bCs/>
          <w:spacing w:val="-15"/>
          <w:kern w:val="36"/>
          <w:sz w:val="60"/>
          <w:szCs w:val="60"/>
        </w:rPr>
      </w:pPr>
      <w:r w:rsidRPr="00520C23">
        <w:rPr>
          <w:rFonts w:ascii="Arial" w:eastAsia="Times New Roman" w:hAnsi="Arial" w:cs="Arial"/>
          <w:b/>
          <w:bCs/>
          <w:color w:val="B22222"/>
          <w:spacing w:val="-15"/>
          <w:kern w:val="36"/>
          <w:sz w:val="60"/>
          <w:szCs w:val="60"/>
        </w:rPr>
        <w:t>ICHG Winter Meeting 2014</w:t>
      </w:r>
    </w:p>
    <w:p w14:paraId="04583551" w14:textId="77777777" w:rsidR="00520C23" w:rsidRPr="00520C23" w:rsidRDefault="00520C23" w:rsidP="00520C23">
      <w:pPr>
        <w:framePr w:hSpace="180" w:wrap="around" w:vAnchor="page" w:hAnchor="page" w:x="2121" w:y="1261"/>
        <w:spacing w:line="338" w:lineRule="atLeast"/>
        <w:outlineLvl w:val="2"/>
        <w:rPr>
          <w:rFonts w:ascii="Helvetica" w:eastAsia="Times New Roman" w:hAnsi="Helvetica" w:cs="Times New Roman"/>
          <w:b/>
          <w:bCs/>
          <w:spacing w:val="-8"/>
          <w:sz w:val="27"/>
          <w:szCs w:val="27"/>
        </w:rPr>
      </w:pPr>
      <w:r w:rsidRPr="00520C23">
        <w:rPr>
          <w:rFonts w:ascii="Arial" w:eastAsia="Times New Roman" w:hAnsi="Arial" w:cs="Arial"/>
          <w:b/>
          <w:bCs/>
          <w:spacing w:val="-8"/>
          <w:sz w:val="27"/>
          <w:szCs w:val="27"/>
        </w:rPr>
        <w:t>"Where Next? Maternal and Child Health in the Post MDG era"</w:t>
      </w:r>
    </w:p>
    <w:p w14:paraId="38755268" w14:textId="384407C6" w:rsidR="00520C23" w:rsidRPr="00520C23" w:rsidRDefault="00520C23" w:rsidP="00520C23">
      <w:pPr>
        <w:framePr w:hSpace="180" w:wrap="around" w:vAnchor="page" w:hAnchor="page" w:x="2121" w:y="1261"/>
        <w:spacing w:before="240" w:after="240" w:line="338" w:lineRule="atLeast"/>
        <w:rPr>
          <w:rFonts w:ascii="Helvetica" w:eastAsia="Times New Roman" w:hAnsi="Helvetica" w:cs="Times New Roman"/>
          <w:color w:val="606060"/>
          <w:sz w:val="23"/>
          <w:szCs w:val="23"/>
        </w:rPr>
      </w:pPr>
      <w:r w:rsidRPr="00520C23">
        <w:rPr>
          <w:rFonts w:ascii="Arial" w:eastAsia="Times New Roman" w:hAnsi="Arial" w:cs="Arial"/>
          <w:color w:val="606060"/>
          <w:sz w:val="18"/>
          <w:szCs w:val="18"/>
        </w:rPr>
        <w:t>This year's ICHG Winter Meeting will take place on </w:t>
      </w:r>
      <w:r w:rsidRPr="00520C23">
        <w:rPr>
          <w:rFonts w:ascii="Arial" w:eastAsia="Times New Roman" w:hAnsi="Arial" w:cs="Arial"/>
          <w:b/>
          <w:bCs/>
          <w:color w:val="606060"/>
          <w:sz w:val="18"/>
          <w:szCs w:val="18"/>
        </w:rPr>
        <w:t>Thursday 6 November 2014</w:t>
      </w:r>
      <w:r w:rsidRPr="00520C23">
        <w:rPr>
          <w:rFonts w:ascii="Arial" w:eastAsia="Times New Roman" w:hAnsi="Arial" w:cs="Arial"/>
          <w:color w:val="606060"/>
          <w:sz w:val="18"/>
          <w:szCs w:val="18"/>
        </w:rPr>
        <w:t> in Liverpool.</w:t>
      </w:r>
    </w:p>
    <w:p w14:paraId="4864A45E" w14:textId="68F4B643" w:rsidR="00520C23" w:rsidRPr="00520C23" w:rsidRDefault="00520C23" w:rsidP="00520C23">
      <w:pPr>
        <w:framePr w:hSpace="180" w:wrap="around" w:vAnchor="page" w:hAnchor="page" w:x="2121" w:y="1261"/>
        <w:rPr>
          <w:rFonts w:ascii="Times New Roman" w:eastAsia="Times New Roman" w:hAnsi="Times New Roman" w:cs="Times New Roman"/>
        </w:rPr>
      </w:pPr>
    </w:p>
    <w:p w14:paraId="730178EB" w14:textId="77777777" w:rsidR="00520C23" w:rsidRPr="00520C23" w:rsidRDefault="00520C23" w:rsidP="00520C23">
      <w:pPr>
        <w:framePr w:hSpace="180" w:wrap="around" w:vAnchor="page" w:hAnchor="page" w:x="2121" w:y="1261"/>
        <w:spacing w:after="150"/>
        <w:rPr>
          <w:rFonts w:ascii="MyriadPro" w:eastAsia="Times New Roman" w:hAnsi="MyriadPro" w:cs="Times New Roman"/>
          <w:color w:val="58595B"/>
          <w:sz w:val="21"/>
          <w:szCs w:val="21"/>
        </w:rPr>
      </w:pPr>
      <w:r w:rsidRPr="00520C23">
        <w:rPr>
          <w:rFonts w:ascii="Arial" w:eastAsia="Times New Roman" w:hAnsi="Arial" w:cs="Arial"/>
          <w:color w:val="000000"/>
          <w:sz w:val="18"/>
          <w:szCs w:val="18"/>
        </w:rPr>
        <w:t>0830-0915: Registration and Coffee</w:t>
      </w:r>
      <w:r w:rsidRPr="00520C23">
        <w:rPr>
          <w:rFonts w:ascii="Arial" w:eastAsia="Times New Roman" w:hAnsi="Arial" w:cs="Arial"/>
          <w:color w:val="000000"/>
          <w:sz w:val="18"/>
          <w:szCs w:val="18"/>
        </w:rPr>
        <w:br/>
      </w:r>
      <w:r w:rsidRPr="00520C23">
        <w:rPr>
          <w:rFonts w:ascii="Arial" w:eastAsia="Times New Roman" w:hAnsi="Arial" w:cs="Arial"/>
          <w:color w:val="000000"/>
          <w:sz w:val="18"/>
          <w:szCs w:val="18"/>
        </w:rPr>
        <w:br/>
      </w:r>
      <w:r w:rsidRPr="00520C23">
        <w:rPr>
          <w:rFonts w:ascii="Arial" w:eastAsia="Times New Roman" w:hAnsi="Arial" w:cs="Arial"/>
          <w:b/>
          <w:bCs/>
          <w:color w:val="000000"/>
          <w:sz w:val="18"/>
          <w:szCs w:val="18"/>
        </w:rPr>
        <w:t>0915-0945: Introduction: Welcome and Setting the Scene on the MDGs</w:t>
      </w:r>
      <w:r w:rsidRPr="00520C23">
        <w:rPr>
          <w:rFonts w:ascii="Arial" w:eastAsia="Times New Roman" w:hAnsi="Arial" w:cs="Arial"/>
          <w:color w:val="000000"/>
          <w:sz w:val="18"/>
          <w:szCs w:val="18"/>
        </w:rPr>
        <w:br/>
      </w:r>
      <w:r w:rsidRPr="00520C23">
        <w:rPr>
          <w:rFonts w:ascii="Arial" w:eastAsia="Times New Roman" w:hAnsi="Arial" w:cs="Arial"/>
          <w:i/>
          <w:iCs/>
          <w:color w:val="000000"/>
          <w:sz w:val="18"/>
          <w:szCs w:val="18"/>
        </w:rPr>
        <w:t>Professor Tony Costello</w:t>
      </w:r>
      <w:r w:rsidRPr="00520C23">
        <w:rPr>
          <w:rFonts w:ascii="Arial" w:eastAsia="Times New Roman" w:hAnsi="Arial" w:cs="Arial"/>
          <w:color w:val="000000"/>
          <w:sz w:val="18"/>
          <w:szCs w:val="18"/>
        </w:rPr>
        <w:br/>
      </w:r>
      <w:r w:rsidRPr="00520C23">
        <w:rPr>
          <w:rFonts w:ascii="Arial" w:eastAsia="Times New Roman" w:hAnsi="Arial" w:cs="Arial"/>
          <w:color w:val="000000"/>
          <w:sz w:val="18"/>
          <w:szCs w:val="18"/>
        </w:rPr>
        <w:br/>
      </w:r>
      <w:r w:rsidRPr="00520C23">
        <w:rPr>
          <w:rFonts w:ascii="Arial" w:eastAsia="Times New Roman" w:hAnsi="Arial" w:cs="Arial"/>
          <w:b/>
          <w:bCs/>
          <w:color w:val="000000"/>
          <w:sz w:val="18"/>
          <w:szCs w:val="18"/>
        </w:rPr>
        <w:t>0945-1030: Maternal Health: Stillbirths</w:t>
      </w:r>
      <w:r w:rsidRPr="00520C23">
        <w:rPr>
          <w:rFonts w:ascii="Arial" w:eastAsia="Times New Roman" w:hAnsi="Arial" w:cs="Arial"/>
          <w:color w:val="000000"/>
          <w:sz w:val="18"/>
          <w:szCs w:val="18"/>
        </w:rPr>
        <w:br/>
      </w:r>
      <w:r w:rsidRPr="00520C23">
        <w:rPr>
          <w:rFonts w:ascii="Arial" w:eastAsia="Times New Roman" w:hAnsi="Arial" w:cs="Arial"/>
          <w:i/>
          <w:iCs/>
          <w:color w:val="000000"/>
          <w:sz w:val="18"/>
          <w:szCs w:val="18"/>
        </w:rPr>
        <w:t xml:space="preserve">Hannah </w:t>
      </w:r>
      <w:proofErr w:type="spellStart"/>
      <w:r w:rsidRPr="00520C23">
        <w:rPr>
          <w:rFonts w:ascii="Arial" w:eastAsia="Times New Roman" w:hAnsi="Arial" w:cs="Arial"/>
          <w:i/>
          <w:iCs/>
          <w:color w:val="000000"/>
          <w:sz w:val="18"/>
          <w:szCs w:val="18"/>
        </w:rPr>
        <w:t>Blencowe</w:t>
      </w:r>
      <w:proofErr w:type="spellEnd"/>
      <w:r w:rsidRPr="00520C23">
        <w:rPr>
          <w:rFonts w:ascii="Arial" w:eastAsia="Times New Roman" w:hAnsi="Arial" w:cs="Arial"/>
          <w:i/>
          <w:iCs/>
          <w:color w:val="000000"/>
          <w:sz w:val="18"/>
          <w:szCs w:val="18"/>
        </w:rPr>
        <w:t>, London School of Hygiene and Tropical Medicine</w:t>
      </w:r>
      <w:r w:rsidRPr="00520C23">
        <w:rPr>
          <w:rFonts w:ascii="Arial" w:eastAsia="Times New Roman" w:hAnsi="Arial" w:cs="Arial"/>
          <w:color w:val="000000"/>
          <w:sz w:val="18"/>
          <w:szCs w:val="18"/>
        </w:rPr>
        <w:br/>
      </w:r>
      <w:r w:rsidRPr="00520C23">
        <w:rPr>
          <w:rFonts w:ascii="Arial" w:eastAsia="Times New Roman" w:hAnsi="Arial" w:cs="Arial"/>
          <w:color w:val="000000"/>
          <w:sz w:val="18"/>
          <w:szCs w:val="18"/>
        </w:rPr>
        <w:br/>
      </w:r>
      <w:r w:rsidRPr="00520C23">
        <w:rPr>
          <w:rFonts w:ascii="Arial" w:eastAsia="Times New Roman" w:hAnsi="Arial" w:cs="Arial"/>
          <w:b/>
          <w:bCs/>
          <w:color w:val="000000"/>
          <w:sz w:val="18"/>
          <w:szCs w:val="18"/>
        </w:rPr>
        <w:t>1030-1115: N</w:t>
      </w:r>
      <w:proofErr w:type="spellStart"/>
      <w:r w:rsidRPr="00520C23">
        <w:rPr>
          <w:rFonts w:ascii="Arial" w:eastAsia="Times New Roman" w:hAnsi="Arial" w:cs="Arial"/>
          <w:b/>
          <w:bCs/>
          <w:color w:val="000000"/>
          <w:sz w:val="18"/>
          <w:szCs w:val="18"/>
        </w:rPr>
        <w:t>ewborns:</w:t>
      </w:r>
      <w:proofErr w:type="spellEnd"/>
      <w:r w:rsidRPr="00520C23">
        <w:rPr>
          <w:rFonts w:ascii="Arial" w:eastAsia="Times New Roman" w:hAnsi="Arial" w:cs="Arial"/>
          <w:b/>
          <w:bCs/>
          <w:color w:val="000000"/>
          <w:sz w:val="18"/>
          <w:szCs w:val="18"/>
        </w:rPr>
        <w:t xml:space="preserve"> Progress on Survival</w:t>
      </w:r>
      <w:r w:rsidRPr="00520C23">
        <w:rPr>
          <w:rFonts w:ascii="Arial" w:eastAsia="Times New Roman" w:hAnsi="Arial" w:cs="Arial"/>
          <w:color w:val="000000"/>
          <w:sz w:val="18"/>
          <w:szCs w:val="18"/>
        </w:rPr>
        <w:br/>
      </w:r>
      <w:r w:rsidRPr="00520C23">
        <w:rPr>
          <w:rFonts w:ascii="Arial" w:eastAsia="Times New Roman" w:hAnsi="Arial" w:cs="Arial"/>
          <w:i/>
          <w:iCs/>
          <w:color w:val="000000"/>
          <w:sz w:val="18"/>
          <w:szCs w:val="18"/>
        </w:rPr>
        <w:t>Simon Wright, Head of Child Survival, Save the Children</w:t>
      </w:r>
      <w:r w:rsidRPr="00520C23">
        <w:rPr>
          <w:rFonts w:ascii="Arial" w:eastAsia="Times New Roman" w:hAnsi="Arial" w:cs="Arial"/>
          <w:color w:val="000000"/>
          <w:sz w:val="18"/>
          <w:szCs w:val="18"/>
        </w:rPr>
        <w:br/>
      </w:r>
      <w:r w:rsidRPr="00520C23">
        <w:rPr>
          <w:rFonts w:ascii="Arial" w:eastAsia="Times New Roman" w:hAnsi="Arial" w:cs="Arial"/>
          <w:color w:val="000000"/>
          <w:sz w:val="18"/>
          <w:szCs w:val="18"/>
        </w:rPr>
        <w:br/>
        <w:t>1115-1130: Coffee</w:t>
      </w:r>
      <w:r w:rsidRPr="00520C23">
        <w:rPr>
          <w:rFonts w:ascii="Arial" w:eastAsia="Times New Roman" w:hAnsi="Arial" w:cs="Arial"/>
          <w:color w:val="58595B"/>
          <w:sz w:val="18"/>
          <w:szCs w:val="18"/>
        </w:rPr>
        <w:br/>
      </w:r>
      <w:r w:rsidRPr="00520C23">
        <w:rPr>
          <w:rFonts w:ascii="Arial" w:eastAsia="Times New Roman" w:hAnsi="Arial" w:cs="Arial"/>
          <w:color w:val="58595B"/>
          <w:sz w:val="18"/>
          <w:szCs w:val="18"/>
        </w:rPr>
        <w:br/>
      </w:r>
      <w:r w:rsidRPr="00520C23">
        <w:rPr>
          <w:rFonts w:ascii="Arial" w:eastAsia="Times New Roman" w:hAnsi="Arial" w:cs="Arial"/>
          <w:b/>
          <w:bCs/>
          <w:color w:val="000000"/>
          <w:sz w:val="18"/>
          <w:szCs w:val="18"/>
        </w:rPr>
        <w:t>1130-1215: Perspectives from Abroad: CHILD2015 Discussion on Past and Future Goals</w:t>
      </w:r>
      <w:r w:rsidRPr="00520C23">
        <w:rPr>
          <w:rFonts w:ascii="Arial" w:eastAsia="Times New Roman" w:hAnsi="Arial" w:cs="Arial"/>
          <w:color w:val="000000"/>
          <w:sz w:val="18"/>
          <w:szCs w:val="18"/>
        </w:rPr>
        <w:br/>
      </w:r>
      <w:r w:rsidRPr="00520C23">
        <w:rPr>
          <w:rFonts w:ascii="Arial" w:eastAsia="Times New Roman" w:hAnsi="Arial" w:cs="Arial"/>
          <w:color w:val="000000"/>
          <w:sz w:val="18"/>
          <w:szCs w:val="18"/>
        </w:rPr>
        <w:br/>
      </w:r>
      <w:r w:rsidRPr="00520C23">
        <w:rPr>
          <w:rFonts w:ascii="Arial" w:eastAsia="Times New Roman" w:hAnsi="Arial" w:cs="Arial"/>
          <w:b/>
          <w:bCs/>
          <w:color w:val="000000"/>
          <w:sz w:val="18"/>
          <w:szCs w:val="18"/>
        </w:rPr>
        <w:t>1215-1300: MDG Progress Globally: Experiences from Malawi</w:t>
      </w:r>
      <w:r w:rsidRPr="00520C23">
        <w:rPr>
          <w:rFonts w:ascii="Arial" w:eastAsia="Times New Roman" w:hAnsi="Arial" w:cs="Arial"/>
          <w:color w:val="000000"/>
          <w:sz w:val="18"/>
          <w:szCs w:val="18"/>
        </w:rPr>
        <w:br/>
      </w:r>
      <w:r w:rsidRPr="00520C23">
        <w:rPr>
          <w:rFonts w:ascii="Arial" w:eastAsia="Times New Roman" w:hAnsi="Arial" w:cs="Arial"/>
          <w:i/>
          <w:iCs/>
          <w:color w:val="000000"/>
          <w:sz w:val="18"/>
          <w:szCs w:val="18"/>
        </w:rPr>
        <w:t xml:space="preserve">Professor Liz </w:t>
      </w:r>
      <w:proofErr w:type="spellStart"/>
      <w:r w:rsidRPr="00520C23">
        <w:rPr>
          <w:rFonts w:ascii="Arial" w:eastAsia="Times New Roman" w:hAnsi="Arial" w:cs="Arial"/>
          <w:i/>
          <w:iCs/>
          <w:color w:val="000000"/>
          <w:sz w:val="18"/>
          <w:szCs w:val="18"/>
        </w:rPr>
        <w:t>Molyneux</w:t>
      </w:r>
      <w:proofErr w:type="spellEnd"/>
      <w:r w:rsidRPr="00520C23">
        <w:rPr>
          <w:rFonts w:ascii="Arial" w:eastAsia="Times New Roman" w:hAnsi="Arial" w:cs="Arial"/>
          <w:i/>
          <w:iCs/>
          <w:color w:val="000000"/>
          <w:sz w:val="18"/>
          <w:szCs w:val="18"/>
        </w:rPr>
        <w:t>, Hon Professor of Paediatrics, College of Medicine, University of Malawi, Blantyre, Malawi</w:t>
      </w:r>
      <w:r w:rsidRPr="00520C23">
        <w:rPr>
          <w:rFonts w:ascii="MyriadPro" w:eastAsia="Times New Roman" w:hAnsi="MyriadPro" w:cs="Times New Roman"/>
          <w:color w:val="58595B"/>
          <w:sz w:val="21"/>
          <w:szCs w:val="21"/>
        </w:rPr>
        <w:br/>
      </w:r>
      <w:r w:rsidRPr="00520C23">
        <w:rPr>
          <w:rFonts w:ascii="MyriadPro" w:eastAsia="Times New Roman" w:hAnsi="MyriadPro" w:cs="Times New Roman"/>
          <w:color w:val="58595B"/>
          <w:sz w:val="21"/>
          <w:szCs w:val="21"/>
        </w:rPr>
        <w:br/>
      </w:r>
      <w:r w:rsidRPr="00520C23">
        <w:rPr>
          <w:rFonts w:ascii="Arial" w:eastAsia="Times New Roman" w:hAnsi="Arial" w:cs="Arial"/>
          <w:color w:val="000000"/>
          <w:sz w:val="18"/>
          <w:szCs w:val="18"/>
        </w:rPr>
        <w:t>1300-1400: Lunch</w:t>
      </w:r>
      <w:r w:rsidRPr="00520C23">
        <w:rPr>
          <w:rFonts w:ascii="Arial" w:eastAsia="Times New Roman" w:hAnsi="Arial" w:cs="Arial"/>
          <w:color w:val="000000"/>
          <w:sz w:val="18"/>
          <w:szCs w:val="18"/>
        </w:rPr>
        <w:br/>
      </w:r>
      <w:r w:rsidRPr="00520C23">
        <w:rPr>
          <w:rFonts w:ascii="Arial" w:eastAsia="Times New Roman" w:hAnsi="Arial" w:cs="Arial"/>
          <w:color w:val="000000"/>
          <w:sz w:val="18"/>
          <w:szCs w:val="18"/>
        </w:rPr>
        <w:br/>
      </w:r>
      <w:r w:rsidRPr="00520C23">
        <w:rPr>
          <w:rFonts w:ascii="Arial" w:eastAsia="Times New Roman" w:hAnsi="Arial" w:cs="Arial"/>
          <w:b/>
          <w:bCs/>
          <w:color w:val="000000"/>
          <w:sz w:val="18"/>
          <w:szCs w:val="18"/>
        </w:rPr>
        <w:t>1400-1515: </w:t>
      </w:r>
      <w:proofErr w:type="spellStart"/>
      <w:r w:rsidRPr="00520C23">
        <w:rPr>
          <w:rFonts w:ascii="Arial" w:eastAsia="Times New Roman" w:hAnsi="Arial" w:cs="Arial"/>
          <w:b/>
          <w:bCs/>
          <w:color w:val="000000"/>
          <w:sz w:val="18"/>
          <w:szCs w:val="18"/>
        </w:rPr>
        <w:t>Break out</w:t>
      </w:r>
      <w:proofErr w:type="spellEnd"/>
      <w:r w:rsidRPr="00520C23">
        <w:rPr>
          <w:rFonts w:ascii="Arial" w:eastAsia="Times New Roman" w:hAnsi="Arial" w:cs="Arial"/>
          <w:b/>
          <w:bCs/>
          <w:color w:val="000000"/>
          <w:sz w:val="18"/>
          <w:szCs w:val="18"/>
        </w:rPr>
        <w:t xml:space="preserve"> sessions</w:t>
      </w:r>
      <w:r w:rsidRPr="00520C23">
        <w:rPr>
          <w:rFonts w:ascii="Arial" w:eastAsia="Times New Roman" w:hAnsi="Arial" w:cs="Arial"/>
          <w:color w:val="000000"/>
          <w:sz w:val="18"/>
          <w:szCs w:val="18"/>
        </w:rPr>
        <w:t xml:space="preserve">           Maternal and </w:t>
      </w:r>
      <w:proofErr w:type="spellStart"/>
      <w:r w:rsidRPr="00520C23">
        <w:rPr>
          <w:rFonts w:ascii="Arial" w:eastAsia="Times New Roman" w:hAnsi="Arial" w:cs="Arial"/>
          <w:color w:val="000000"/>
          <w:sz w:val="18"/>
          <w:szCs w:val="18"/>
        </w:rPr>
        <w:t>Newborn</w:t>
      </w:r>
      <w:proofErr w:type="spellEnd"/>
      <w:r w:rsidRPr="00520C23">
        <w:rPr>
          <w:rFonts w:ascii="MyriadPro" w:eastAsia="Times New Roman" w:hAnsi="MyriadPro" w:cs="Times New Roman"/>
          <w:color w:val="000000"/>
          <w:sz w:val="21"/>
          <w:szCs w:val="21"/>
        </w:rPr>
        <w:br/>
      </w:r>
      <w:r w:rsidRPr="00520C23">
        <w:rPr>
          <w:rFonts w:ascii="Arial" w:eastAsia="Times New Roman" w:hAnsi="Arial" w:cs="Arial"/>
          <w:color w:val="000000"/>
          <w:sz w:val="18"/>
          <w:szCs w:val="18"/>
        </w:rPr>
        <w:t>                                                               Child Health</w:t>
      </w:r>
      <w:r w:rsidRPr="00520C23">
        <w:rPr>
          <w:rFonts w:ascii="Arial" w:eastAsia="Times New Roman" w:hAnsi="Arial" w:cs="Arial"/>
          <w:color w:val="000000"/>
          <w:sz w:val="18"/>
          <w:szCs w:val="18"/>
        </w:rPr>
        <w:br/>
      </w:r>
      <w:r w:rsidRPr="00520C23">
        <w:rPr>
          <w:rFonts w:ascii="Arial" w:eastAsia="Times New Roman" w:hAnsi="Arial" w:cs="Arial"/>
          <w:color w:val="000000"/>
          <w:sz w:val="18"/>
          <w:szCs w:val="18"/>
        </w:rPr>
        <w:br/>
        <w:t>1515-1530: Coffee</w:t>
      </w:r>
      <w:r w:rsidRPr="00520C23">
        <w:rPr>
          <w:rFonts w:ascii="MyriadPro" w:eastAsia="Times New Roman" w:hAnsi="MyriadPro" w:cs="Times New Roman"/>
          <w:color w:val="58595B"/>
          <w:sz w:val="21"/>
          <w:szCs w:val="21"/>
        </w:rPr>
        <w:br/>
      </w:r>
      <w:r w:rsidRPr="00520C23">
        <w:rPr>
          <w:rFonts w:ascii="MyriadPro" w:eastAsia="Times New Roman" w:hAnsi="MyriadPro" w:cs="Times New Roman"/>
          <w:color w:val="58595B"/>
          <w:sz w:val="21"/>
          <w:szCs w:val="21"/>
        </w:rPr>
        <w:br/>
      </w:r>
      <w:r w:rsidRPr="00520C23">
        <w:rPr>
          <w:rFonts w:ascii="Arial" w:eastAsia="Times New Roman" w:hAnsi="Arial" w:cs="Arial"/>
          <w:b/>
          <w:bCs/>
          <w:color w:val="000000"/>
          <w:sz w:val="18"/>
          <w:szCs w:val="18"/>
        </w:rPr>
        <w:t>1530-1615: New MDG’s fit for the future?</w:t>
      </w:r>
      <w:r w:rsidRPr="00520C23">
        <w:rPr>
          <w:rFonts w:ascii="MyriadPro" w:eastAsia="Times New Roman" w:hAnsi="MyriadPro" w:cs="Times New Roman"/>
          <w:color w:val="58595B"/>
          <w:sz w:val="21"/>
          <w:szCs w:val="21"/>
        </w:rPr>
        <w:br/>
      </w:r>
      <w:r w:rsidRPr="00520C23">
        <w:rPr>
          <w:rFonts w:ascii="Arial" w:eastAsia="Times New Roman" w:hAnsi="Arial" w:cs="Arial"/>
          <w:i/>
          <w:iCs/>
          <w:color w:val="000000"/>
          <w:sz w:val="18"/>
          <w:szCs w:val="18"/>
        </w:rPr>
        <w:t>Professor Tony Costello</w:t>
      </w:r>
      <w:r w:rsidRPr="00520C23">
        <w:rPr>
          <w:rFonts w:ascii="MyriadPro" w:eastAsia="Times New Roman" w:hAnsi="MyriadPro" w:cs="Times New Roman"/>
          <w:color w:val="58595B"/>
          <w:sz w:val="21"/>
          <w:szCs w:val="21"/>
        </w:rPr>
        <w:br/>
      </w:r>
      <w:r w:rsidRPr="00520C23">
        <w:rPr>
          <w:rFonts w:ascii="MyriadPro" w:eastAsia="Times New Roman" w:hAnsi="MyriadPro" w:cs="Times New Roman"/>
          <w:color w:val="58595B"/>
          <w:sz w:val="21"/>
          <w:szCs w:val="21"/>
        </w:rPr>
        <w:br/>
      </w:r>
      <w:r w:rsidRPr="00520C23">
        <w:rPr>
          <w:rFonts w:ascii="Arial" w:eastAsia="Times New Roman" w:hAnsi="Arial" w:cs="Arial"/>
          <w:b/>
          <w:bCs/>
          <w:color w:val="000000"/>
          <w:sz w:val="18"/>
          <w:szCs w:val="18"/>
        </w:rPr>
        <w:t>1615-1635: Breaking News: Update on Ebola</w:t>
      </w:r>
      <w:r w:rsidRPr="00520C23">
        <w:rPr>
          <w:rFonts w:ascii="MyriadPro" w:eastAsia="Times New Roman" w:hAnsi="MyriadPro" w:cs="Times New Roman"/>
          <w:color w:val="58595B"/>
          <w:sz w:val="21"/>
          <w:szCs w:val="21"/>
        </w:rPr>
        <w:br/>
      </w:r>
      <w:r w:rsidRPr="00520C23">
        <w:rPr>
          <w:rFonts w:ascii="Arial" w:eastAsia="Times New Roman" w:hAnsi="Arial" w:cs="Arial"/>
          <w:i/>
          <w:iCs/>
          <w:color w:val="000000"/>
          <w:sz w:val="18"/>
          <w:szCs w:val="18"/>
        </w:rPr>
        <w:t>James Bunn, ICHG Convener</w:t>
      </w:r>
      <w:r w:rsidRPr="00520C23">
        <w:rPr>
          <w:rFonts w:ascii="MyriadPro" w:eastAsia="Times New Roman" w:hAnsi="MyriadPro" w:cs="Times New Roman"/>
          <w:color w:val="58595B"/>
          <w:sz w:val="21"/>
          <w:szCs w:val="21"/>
        </w:rPr>
        <w:br/>
      </w:r>
      <w:r w:rsidRPr="00520C23">
        <w:rPr>
          <w:rFonts w:ascii="MyriadPro" w:eastAsia="Times New Roman" w:hAnsi="MyriadPro" w:cs="Times New Roman"/>
          <w:color w:val="58595B"/>
          <w:sz w:val="21"/>
          <w:szCs w:val="21"/>
        </w:rPr>
        <w:br/>
      </w:r>
      <w:r w:rsidRPr="00520C23">
        <w:rPr>
          <w:rFonts w:ascii="Arial" w:eastAsia="Times New Roman" w:hAnsi="Arial" w:cs="Arial"/>
          <w:color w:val="000000"/>
          <w:sz w:val="18"/>
          <w:szCs w:val="18"/>
        </w:rPr>
        <w:t>1635-1700: Closing Comments</w:t>
      </w:r>
    </w:p>
    <w:p w14:paraId="1A88B2E1" w14:textId="77777777" w:rsidR="00520C23" w:rsidRPr="00520C23" w:rsidRDefault="00F44B2B" w:rsidP="00520C23">
      <w:pPr>
        <w:framePr w:hSpace="180" w:wrap="around" w:vAnchor="page" w:hAnchor="page" w:x="2121" w:y="1261"/>
        <w:rPr>
          <w:rFonts w:ascii="Times New Roman" w:eastAsia="Times New Roman" w:hAnsi="Times New Roman" w:cs="Times New Roman"/>
        </w:rPr>
      </w:pPr>
      <w:r w:rsidRPr="00520C23">
        <w:rPr>
          <w:rFonts w:ascii="Times New Roman" w:eastAsia="Times New Roman" w:hAnsi="Times New Roman" w:cs="Times New Roman"/>
          <w:noProof/>
        </w:rPr>
        <w:pict w14:anchorId="78B6E7F5">
          <v:rect id="_x0000_i1025" alt="" style="width:25pt;height:.05pt;mso-width-percent:0;mso-height-percent:0;mso-width-percent:0;mso-height-percent:0" o:hrstd="t" o:hrnoshade="t" o:hr="t" fillcolor="#606060" stroked="f"/>
        </w:pict>
      </w:r>
    </w:p>
    <w:p w14:paraId="09431D9C" w14:textId="77777777" w:rsidR="00520C23" w:rsidRPr="00520C23" w:rsidRDefault="00520C23" w:rsidP="00520C23">
      <w:pPr>
        <w:framePr w:hSpace="180" w:wrap="around" w:vAnchor="page" w:hAnchor="page" w:x="2121" w:y="1261"/>
        <w:spacing w:after="150" w:line="236" w:lineRule="atLeast"/>
        <w:rPr>
          <w:rFonts w:ascii="MyriadPro" w:eastAsia="Times New Roman" w:hAnsi="MyriadPro" w:cs="Times New Roman"/>
          <w:color w:val="58595B"/>
          <w:sz w:val="21"/>
          <w:szCs w:val="21"/>
        </w:rPr>
      </w:pPr>
      <w:r w:rsidRPr="00520C23">
        <w:rPr>
          <w:rFonts w:ascii="MyriadPro" w:eastAsia="Times New Roman" w:hAnsi="MyriadPro" w:cs="Times New Roman"/>
          <w:color w:val="58595B"/>
          <w:sz w:val="21"/>
          <w:szCs w:val="21"/>
        </w:rPr>
        <w:br/>
      </w:r>
      <w:r w:rsidRPr="00520C23">
        <w:rPr>
          <w:rFonts w:ascii="Arial" w:eastAsia="Times New Roman" w:hAnsi="Arial" w:cs="Arial"/>
          <w:color w:val="000000"/>
          <w:sz w:val="20"/>
          <w:szCs w:val="20"/>
        </w:rPr>
        <w:t>The arrival of 2015 will play host to much soul-searching amongst the global development community. Many of the Millennium Development Goals (MDGs), including those on maternal and child mortality, will not be met. Despite much progress in some areas and some diseases, the global community will fail to deliver on both its maternal and child survival pledges. Why has this happened and what can we learn from this unique period in global development? What were the successes built on and what has been the anatomy of the failures?</w:t>
      </w:r>
      <w:r w:rsidRPr="00520C23">
        <w:rPr>
          <w:rFonts w:ascii="MyriadPro" w:eastAsia="Times New Roman" w:hAnsi="MyriadPro" w:cs="Times New Roman"/>
          <w:color w:val="000000"/>
          <w:sz w:val="21"/>
          <w:szCs w:val="21"/>
        </w:rPr>
        <w:br/>
      </w:r>
      <w:r w:rsidRPr="00520C23">
        <w:rPr>
          <w:rFonts w:ascii="MyriadPro" w:eastAsia="Times New Roman" w:hAnsi="MyriadPro" w:cs="Times New Roman"/>
          <w:color w:val="000000"/>
          <w:sz w:val="21"/>
          <w:szCs w:val="21"/>
        </w:rPr>
        <w:br/>
      </w:r>
      <w:r w:rsidRPr="00520C23">
        <w:rPr>
          <w:rFonts w:ascii="Arial" w:eastAsia="Times New Roman" w:hAnsi="Arial" w:cs="Arial"/>
          <w:color w:val="000000"/>
          <w:sz w:val="20"/>
          <w:szCs w:val="20"/>
        </w:rPr>
        <w:t xml:space="preserve">Further to this, the upcoming new round of development goals are likely to shift focus away from these measures of survival. The UN System Task Team on the post-2015 Development Agenda have released an overview of the statistics and indicators that should be considered for the post-2015 development agenda. </w:t>
      </w:r>
      <w:proofErr w:type="gramStart"/>
      <w:r w:rsidRPr="00520C23">
        <w:rPr>
          <w:rFonts w:ascii="Arial" w:eastAsia="Times New Roman" w:hAnsi="Arial" w:cs="Arial"/>
          <w:color w:val="000000"/>
          <w:sz w:val="20"/>
          <w:szCs w:val="20"/>
        </w:rPr>
        <w:t>This talks of development</w:t>
      </w:r>
      <w:proofErr w:type="gramEnd"/>
      <w:r w:rsidRPr="00520C23">
        <w:rPr>
          <w:rFonts w:ascii="Arial" w:eastAsia="Times New Roman" w:hAnsi="Arial" w:cs="Arial"/>
          <w:color w:val="000000"/>
          <w:sz w:val="20"/>
          <w:szCs w:val="20"/>
        </w:rPr>
        <w:t xml:space="preserve"> indicators that measure inequalities within nations and population groups, of sustainability and development, subjective well-being, governance, rule of law, peace-building, violence, conflict and human rights. Should </w:t>
      </w:r>
      <w:proofErr w:type="spellStart"/>
      <w:r w:rsidRPr="00520C23">
        <w:rPr>
          <w:rFonts w:ascii="Arial" w:eastAsia="Times New Roman" w:hAnsi="Arial" w:cs="Arial"/>
          <w:color w:val="000000"/>
          <w:sz w:val="20"/>
          <w:szCs w:val="20"/>
        </w:rPr>
        <w:t>these</w:t>
      </w:r>
      <w:proofErr w:type="spellEnd"/>
      <w:r w:rsidRPr="00520C23">
        <w:rPr>
          <w:rFonts w:ascii="Arial" w:eastAsia="Times New Roman" w:hAnsi="Arial" w:cs="Arial"/>
          <w:color w:val="000000"/>
          <w:sz w:val="20"/>
          <w:szCs w:val="20"/>
        </w:rPr>
        <w:t xml:space="preserve"> be the be focus, with their broad empowerment agenda, or are the global community at risk of moving on before a job is finished? Who are the leaders in this shift and is it what those who hope to benefit the most from these goals want?</w:t>
      </w:r>
      <w:r w:rsidRPr="00520C23">
        <w:rPr>
          <w:rFonts w:ascii="MyriadPro" w:eastAsia="Times New Roman" w:hAnsi="MyriadPro" w:cs="Times New Roman"/>
          <w:color w:val="000000"/>
          <w:sz w:val="21"/>
          <w:szCs w:val="21"/>
        </w:rPr>
        <w:br/>
      </w:r>
      <w:r w:rsidRPr="00520C23">
        <w:rPr>
          <w:rFonts w:ascii="MyriadPro" w:eastAsia="Times New Roman" w:hAnsi="MyriadPro" w:cs="Times New Roman"/>
          <w:color w:val="000000"/>
          <w:sz w:val="21"/>
          <w:szCs w:val="21"/>
        </w:rPr>
        <w:br/>
      </w:r>
      <w:r w:rsidRPr="00520C23">
        <w:rPr>
          <w:rFonts w:ascii="Arial" w:eastAsia="Times New Roman" w:hAnsi="Arial" w:cs="Arial"/>
          <w:color w:val="000000"/>
          <w:sz w:val="20"/>
          <w:szCs w:val="20"/>
        </w:rPr>
        <w:t>Maternal and Child health are inextricably linked. This broader agenda could drive broader empowerment for these groups, leading a more effective improvement in mortality, morbidity and quality of life amongst them, or it could lead to a loss of focus and progress in all that has been achieved over the millennium goals (MDGs). The International Child Health Group invite you to share a day of insight, discussion and debate on these questions, with keynote speakers and stakeholders from past and future in this area.</w:t>
      </w:r>
    </w:p>
    <w:p w14:paraId="3E33ED1D" w14:textId="544190BB" w:rsidR="00BF6260" w:rsidRDefault="00F44B2B"/>
    <w:p w14:paraId="725A285A" w14:textId="07CAFD69" w:rsidR="00520C23" w:rsidRDefault="00520C23"/>
    <w:p w14:paraId="11684A3D" w14:textId="77777777" w:rsidR="00520C23" w:rsidRDefault="00520C23"/>
    <w:p w14:paraId="4B5D458A" w14:textId="77777777" w:rsidR="00520C23" w:rsidRDefault="00520C23">
      <w:bookmarkStart w:id="0" w:name="_GoBack"/>
      <w:bookmarkEnd w:id="0"/>
    </w:p>
    <w:sectPr w:rsidR="00520C23" w:rsidSect="00D675F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23"/>
    <w:rsid w:val="00520C23"/>
    <w:rsid w:val="009D550D"/>
    <w:rsid w:val="00A10BF9"/>
    <w:rsid w:val="00A34AED"/>
    <w:rsid w:val="00D675F0"/>
    <w:rsid w:val="00F4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BF3D"/>
  <w14:defaultImageDpi w14:val="32767"/>
  <w15:chartTrackingRefBased/>
  <w15:docId w15:val="{FF4158D0-CA1B-BD4B-AF56-3D3A79B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20C2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20C2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C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0C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0C2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20C23"/>
  </w:style>
  <w:style w:type="character" w:styleId="Strong">
    <w:name w:val="Strong"/>
    <w:basedOn w:val="DefaultParagraphFont"/>
    <w:uiPriority w:val="22"/>
    <w:qFormat/>
    <w:rsid w:val="00520C23"/>
    <w:rPr>
      <w:b/>
      <w:bCs/>
    </w:rPr>
  </w:style>
  <w:style w:type="character" w:styleId="Hyperlink">
    <w:name w:val="Hyperlink"/>
    <w:basedOn w:val="DefaultParagraphFont"/>
    <w:uiPriority w:val="99"/>
    <w:semiHidden/>
    <w:unhideWhenUsed/>
    <w:rsid w:val="00520C23"/>
    <w:rPr>
      <w:color w:val="0000FF"/>
      <w:u w:val="single"/>
    </w:rPr>
  </w:style>
  <w:style w:type="paragraph" w:customStyle="1" w:styleId="body">
    <w:name w:val="body"/>
    <w:basedOn w:val="Normal"/>
    <w:rsid w:val="00520C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0C23"/>
    <w:rPr>
      <w:i/>
      <w:iCs/>
    </w:rPr>
  </w:style>
  <w:style w:type="paragraph" w:styleId="BalloonText">
    <w:name w:val="Balloon Text"/>
    <w:basedOn w:val="Normal"/>
    <w:link w:val="BalloonTextChar"/>
    <w:uiPriority w:val="99"/>
    <w:semiHidden/>
    <w:unhideWhenUsed/>
    <w:rsid w:val="00520C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0C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3109">
      <w:bodyDiv w:val="1"/>
      <w:marLeft w:val="0"/>
      <w:marRight w:val="0"/>
      <w:marTop w:val="0"/>
      <w:marBottom w:val="0"/>
      <w:divBdr>
        <w:top w:val="none" w:sz="0" w:space="0" w:color="auto"/>
        <w:left w:val="none" w:sz="0" w:space="0" w:color="auto"/>
        <w:bottom w:val="none" w:sz="0" w:space="0" w:color="auto"/>
        <w:right w:val="none" w:sz="0" w:space="0" w:color="auto"/>
      </w:divBdr>
    </w:div>
    <w:div w:id="15893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Kennedy</dc:creator>
  <cp:keywords/>
  <dc:description/>
  <cp:lastModifiedBy>Alasdair Kennedy</cp:lastModifiedBy>
  <cp:revision>1</cp:revision>
  <cp:lastPrinted>2018-12-06T14:41:00Z</cp:lastPrinted>
  <dcterms:created xsi:type="dcterms:W3CDTF">2018-12-06T14:40:00Z</dcterms:created>
  <dcterms:modified xsi:type="dcterms:W3CDTF">2018-12-06T14:41:00Z</dcterms:modified>
</cp:coreProperties>
</file>